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19782E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031A448" w:rsidR="00F92268" w:rsidRPr="00FF66BF" w:rsidRDefault="001C5B95" w:rsidP="0019782E">
            <w:pPr>
              <w:pStyle w:val="RefTableData"/>
            </w:pPr>
            <w:r>
              <w:t>6138-A</w:t>
            </w:r>
          </w:p>
        </w:tc>
      </w:tr>
    </w:tbl>
    <w:p w14:paraId="74FBA5B4" w14:textId="77777777" w:rsidR="00051356" w:rsidRPr="005E40A9" w:rsidRDefault="00051356" w:rsidP="005E40A9">
      <w:pPr>
        <w:pStyle w:val="BodyText"/>
        <w:spacing w:after="0"/>
        <w:rPr>
          <w:b/>
          <w:bCs/>
          <w:sz w:val="2"/>
          <w:szCs w:val="2"/>
        </w:rPr>
        <w:sectPr w:rsidR="00051356" w:rsidRPr="005E40A9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55D071AE" w14:textId="4ACB130E" w:rsidR="00041200" w:rsidRPr="00041200" w:rsidRDefault="001C5B95" w:rsidP="001C5B95">
      <w:pPr>
        <w:pStyle w:val="Heading1"/>
      </w:pPr>
      <w:r w:rsidRPr="001C5B95">
        <w:t>Specialty Guideline Management</w:t>
      </w:r>
      <w:r w:rsidR="008C54D9" w:rsidRPr="00BD1CC1">
        <w:br/>
      </w:r>
      <w:proofErr w:type="spellStart"/>
      <w:r w:rsidRPr="001C5B95">
        <w:t>Sohonos</w:t>
      </w:r>
      <w:proofErr w:type="spellEnd"/>
    </w:p>
    <w:p w14:paraId="78861C92" w14:textId="38BDCFAB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07868740" w14:textId="152539EE" w:rsidR="00725714" w:rsidRDefault="00D82D85" w:rsidP="001C5B95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ED00D4">
        <w:t>Over</w:t>
      </w:r>
      <w:r w:rsidR="006E16B0">
        <w:t>-</w:t>
      </w:r>
      <w:r w:rsidR="00ED00D4">
        <w:t>the</w:t>
      </w:r>
      <w:r w:rsidR="006E16B0">
        <w:t>-</w:t>
      </w:r>
      <w:r w:rsidR="00ED00D4">
        <w:t>counter (</w:t>
      </w:r>
      <w:r w:rsidRPr="00BD1CC1">
        <w:t>OTC</w:t>
      </w:r>
      <w:r w:rsidR="00ED00D4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BD1CC1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BD1CC1" w:rsidRDefault="005B4D7C">
            <w:pPr>
              <w:pStyle w:val="TableHeader"/>
            </w:pPr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BD1CC1" w:rsidRDefault="005B4D7C">
            <w:pPr>
              <w:pStyle w:val="TableHeader"/>
            </w:pPr>
            <w:r w:rsidRPr="00BD1CC1">
              <w:t>Generic Name</w:t>
            </w:r>
          </w:p>
        </w:tc>
      </w:tr>
      <w:tr w:rsidR="005B4D7C" w:rsidRPr="00BD1CC1" w14:paraId="7742B1EC" w14:textId="77777777">
        <w:trPr>
          <w:cantSplit/>
        </w:trPr>
        <w:tc>
          <w:tcPr>
            <w:tcW w:w="5265" w:type="dxa"/>
          </w:tcPr>
          <w:p w14:paraId="4DED0C9B" w14:textId="4EFC2C94" w:rsidR="005B4D7C" w:rsidRPr="00BD1CC1" w:rsidRDefault="001C5B95">
            <w:pPr>
              <w:pStyle w:val="TableDataUnpadded"/>
            </w:pPr>
            <w:proofErr w:type="spellStart"/>
            <w:r w:rsidRPr="001C5B95">
              <w:t>Sohonos</w:t>
            </w:r>
            <w:proofErr w:type="spellEnd"/>
            <w:r w:rsidRPr="001C5B95">
              <w:t xml:space="preserve"> </w:t>
            </w:r>
          </w:p>
        </w:tc>
        <w:tc>
          <w:tcPr>
            <w:tcW w:w="5595" w:type="dxa"/>
          </w:tcPr>
          <w:p w14:paraId="1A09710D" w14:textId="29BB0F13" w:rsidR="005B4D7C" w:rsidRPr="00BD1CC1" w:rsidRDefault="001C5B95">
            <w:pPr>
              <w:pStyle w:val="TableDataUnpadded"/>
            </w:pPr>
            <w:r w:rsidRPr="001C5B95">
              <w:t>palovarotene</w:t>
            </w:r>
          </w:p>
        </w:tc>
      </w:tr>
    </w:tbl>
    <w:p w14:paraId="14CE6108" w14:textId="0AA648BC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0413C409" w14:textId="77777777" w:rsidR="001C5B95" w:rsidRPr="001C5B95" w:rsidRDefault="001C5B95" w:rsidP="00E255CD">
      <w:pPr>
        <w:pStyle w:val="BodyText"/>
      </w:pPr>
      <w:r w:rsidRPr="001C5B95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502C20CC" w:rsidR="00ED052F" w:rsidRDefault="00ED052F" w:rsidP="00ED052F">
      <w:pPr>
        <w:pStyle w:val="Heading3"/>
        <w:rPr>
          <w:vertAlign w:val="superscript"/>
        </w:rPr>
      </w:pPr>
      <w:r w:rsidRPr="00BD1CC1">
        <w:t>FDA-approved Indication</w:t>
      </w:r>
      <w:r w:rsidR="001C5B95" w:rsidRPr="001C5B95">
        <w:rPr>
          <w:vertAlign w:val="superscript"/>
        </w:rPr>
        <w:t>1</w:t>
      </w:r>
    </w:p>
    <w:p w14:paraId="164C06B2" w14:textId="2840FE55" w:rsidR="001C5B95" w:rsidRPr="00E9662E" w:rsidRDefault="001C5B95" w:rsidP="00E255CD">
      <w:pPr>
        <w:pStyle w:val="BodyText"/>
      </w:pPr>
      <w:proofErr w:type="spellStart"/>
      <w:r w:rsidRPr="00E9662E">
        <w:t>Sohonos</w:t>
      </w:r>
      <w:proofErr w:type="spellEnd"/>
      <w:r w:rsidRPr="00E9662E">
        <w:t xml:space="preserve"> is indicated for the reduction in volume of new heterotopic ossification in adults and pediatric patients aged 8 years and older for females and 10 years and older for males with fibrodysplasia ossificans progressiva (FOP).</w:t>
      </w:r>
    </w:p>
    <w:p w14:paraId="4BBBF3DF" w14:textId="7C836A51" w:rsidR="001C5B95" w:rsidRPr="00E9662E" w:rsidRDefault="001C5B95" w:rsidP="00E255CD">
      <w:pPr>
        <w:pStyle w:val="BodyText"/>
      </w:pPr>
      <w:r w:rsidRPr="00E9662E">
        <w:t>All other indications are considered experimental/investigational and not medically necessary.</w:t>
      </w:r>
    </w:p>
    <w:p w14:paraId="36381B6D" w14:textId="6069D8E5" w:rsidR="000D2496" w:rsidRPr="00BD1CC1" w:rsidRDefault="000D2496" w:rsidP="000D2496">
      <w:pPr>
        <w:pStyle w:val="Heading2"/>
      </w:pPr>
      <w:r w:rsidRPr="00BD1CC1">
        <w:t>Documentation</w:t>
      </w:r>
    </w:p>
    <w:p w14:paraId="2180ED6E" w14:textId="57B2B71C" w:rsidR="000D2496" w:rsidRDefault="000D2496" w:rsidP="000D2496">
      <w:pPr>
        <w:pStyle w:val="BodyText"/>
      </w:pPr>
      <w:r w:rsidRPr="00BD1CC1">
        <w:t>Submission of the following information is necessary to initiate the prior authorization review:</w:t>
      </w:r>
    </w:p>
    <w:p w14:paraId="0E88E505" w14:textId="063BDB69" w:rsidR="001C5B95" w:rsidRDefault="001C5B95" w:rsidP="005E40A9">
      <w:pPr>
        <w:pStyle w:val="Heading3"/>
      </w:pPr>
      <w:r>
        <w:t>Initial requests:</w:t>
      </w:r>
    </w:p>
    <w:p w14:paraId="34C6B00F" w14:textId="77777777" w:rsidR="001C5B95" w:rsidRDefault="001C5B95" w:rsidP="005E40A9">
      <w:pPr>
        <w:pStyle w:val="ListParagraph"/>
        <w:widowControl w:val="0"/>
      </w:pPr>
      <w:r>
        <w:t>Genetic testing results confirming diagnosis of fibrodysplasia ossificans progressiva (FOP) with documented activin receptor type 1 (ACVR1) mutation (e.g., R206H).</w:t>
      </w:r>
    </w:p>
    <w:p w14:paraId="455CEE9D" w14:textId="77777777" w:rsidR="001C5B95" w:rsidRDefault="001C5B95" w:rsidP="005E40A9">
      <w:pPr>
        <w:pStyle w:val="ListParagraph"/>
        <w:widowControl w:val="0"/>
      </w:pPr>
      <w:r>
        <w:lastRenderedPageBreak/>
        <w:t>Chart notes or medical record documentation supporting signs and symptoms of FOP.</w:t>
      </w:r>
    </w:p>
    <w:p w14:paraId="46A3863E" w14:textId="7E2798EA" w:rsidR="001C5B95" w:rsidRDefault="001C5B95" w:rsidP="001C5B95">
      <w:pPr>
        <w:pStyle w:val="Heading3"/>
      </w:pPr>
      <w:r>
        <w:t>Continuation requests:</w:t>
      </w:r>
    </w:p>
    <w:p w14:paraId="193ADB99" w14:textId="0CB2E90E" w:rsidR="001C5B95" w:rsidRPr="00E9662E" w:rsidRDefault="001C5B95" w:rsidP="00E255CD">
      <w:pPr>
        <w:pStyle w:val="ListParagraph"/>
        <w:numPr>
          <w:ilvl w:val="0"/>
          <w:numId w:val="38"/>
        </w:numPr>
      </w:pPr>
      <w:r w:rsidRPr="00E9662E">
        <w:t>Chart notes or medical record documentation supporting benefit from therapy.</w:t>
      </w:r>
    </w:p>
    <w:p w14:paraId="7CC7A413" w14:textId="7DD7A206" w:rsidR="0080773F" w:rsidRDefault="0080773F" w:rsidP="00E050E1">
      <w:pPr>
        <w:pStyle w:val="Heading2"/>
      </w:pPr>
      <w:r>
        <w:t>Prescriber Specialties</w:t>
      </w:r>
    </w:p>
    <w:p w14:paraId="4F1EAE9E" w14:textId="36F42DAA" w:rsidR="0080773F" w:rsidRPr="0080773F" w:rsidRDefault="007B123A" w:rsidP="00E255CD">
      <w:pPr>
        <w:pStyle w:val="BodyText"/>
      </w:pPr>
      <w:r w:rsidRPr="007B123A">
        <w:t>This medication must be prescribed by or in consultation with a physician who is experienced in the treatment of fibrodysplasia ossificans progressiva (FOP) (e.g., orthopedist, rheumatologist).</w:t>
      </w:r>
    </w:p>
    <w:p w14:paraId="50A38FBA" w14:textId="502250DA" w:rsidR="00FE0C63" w:rsidRPr="00CE2510" w:rsidRDefault="00685107" w:rsidP="00E050E1">
      <w:pPr>
        <w:pStyle w:val="Heading2"/>
      </w:pPr>
      <w:r>
        <w:t>Coverage Criteria</w:t>
      </w:r>
    </w:p>
    <w:p w14:paraId="779A0CB0" w14:textId="4F84A12C" w:rsidR="001C5B95" w:rsidRDefault="001C5B95" w:rsidP="001C5B95">
      <w:pPr>
        <w:pStyle w:val="Heading3"/>
      </w:pPr>
      <w:r>
        <w:t>Fibrodysplasia ossificans progressiva (FOP)</w:t>
      </w:r>
      <w:r w:rsidRPr="001C5B95">
        <w:rPr>
          <w:vertAlign w:val="superscript"/>
        </w:rPr>
        <w:t>1-4</w:t>
      </w:r>
    </w:p>
    <w:p w14:paraId="6BE5AC41" w14:textId="77777777" w:rsidR="001C5B95" w:rsidRDefault="001C5B95" w:rsidP="001C5B95">
      <w:pPr>
        <w:pStyle w:val="BodyText"/>
      </w:pPr>
      <w:r>
        <w:t>Authorization of 12 months may be granted for reduction in the volume of new heterotopic ossification in fibrodysplasia ossificans progressiva (FOP) when all of the following criteria are met:</w:t>
      </w:r>
    </w:p>
    <w:p w14:paraId="650E1E3D" w14:textId="77777777" w:rsidR="001C5B95" w:rsidRPr="00E84052" w:rsidRDefault="001C5B95" w:rsidP="00E255CD">
      <w:pPr>
        <w:pStyle w:val="ListParagraph"/>
        <w:numPr>
          <w:ilvl w:val="0"/>
          <w:numId w:val="39"/>
        </w:numPr>
      </w:pPr>
      <w:r w:rsidRPr="00E84052">
        <w:t>Member has a genetically confirmed diagnosis of FOP with genetic testing indicating the patient has an activin receptor type 1 (ACVR1) mutation (e.g., R206H).</w:t>
      </w:r>
    </w:p>
    <w:p w14:paraId="69AB0843" w14:textId="77777777" w:rsidR="001C5B95" w:rsidRPr="00E84052" w:rsidRDefault="001C5B95" w:rsidP="00E255CD">
      <w:pPr>
        <w:pStyle w:val="ListParagraph"/>
        <w:numPr>
          <w:ilvl w:val="0"/>
          <w:numId w:val="39"/>
        </w:numPr>
      </w:pPr>
      <w:r w:rsidRPr="00E84052">
        <w:t>Member has signs and symptoms of FOP (e.g., malformation of the great toe, abnormal vertebral morphology, ectopic ossification in ligament or muscle tissue).</w:t>
      </w:r>
    </w:p>
    <w:p w14:paraId="2DAE6C20" w14:textId="6168E714" w:rsidR="001C5B95" w:rsidRPr="00E84052" w:rsidRDefault="001C5B95" w:rsidP="00E255CD">
      <w:pPr>
        <w:pStyle w:val="ListParagraph"/>
        <w:numPr>
          <w:ilvl w:val="0"/>
          <w:numId w:val="39"/>
        </w:numPr>
      </w:pPr>
      <w:r w:rsidRPr="00E84052">
        <w:t>Member meets either of the following age criteria:</w:t>
      </w:r>
    </w:p>
    <w:p w14:paraId="6DE7C651" w14:textId="77777777" w:rsidR="001C5B95" w:rsidRDefault="001C5B95" w:rsidP="00E255CD">
      <w:pPr>
        <w:pStyle w:val="ListParagraph"/>
        <w:numPr>
          <w:ilvl w:val="1"/>
          <w:numId w:val="39"/>
        </w:numPr>
      </w:pPr>
      <w:r>
        <w:t>Member is a male 10 years of age or older.</w:t>
      </w:r>
    </w:p>
    <w:p w14:paraId="2EFEB8DE" w14:textId="6FAFFB12" w:rsidR="001C5B95" w:rsidRPr="001C5B95" w:rsidRDefault="001C5B95" w:rsidP="00E255CD">
      <w:pPr>
        <w:pStyle w:val="ListParagraph"/>
        <w:numPr>
          <w:ilvl w:val="1"/>
          <w:numId w:val="39"/>
        </w:numPr>
      </w:pPr>
      <w:r>
        <w:t>Member is a female 8 years of age or older.</w:t>
      </w:r>
    </w:p>
    <w:p w14:paraId="3A643EC3" w14:textId="0F330888" w:rsidR="00A501AC" w:rsidRPr="00CE2510" w:rsidRDefault="00A501AC" w:rsidP="00A501AC">
      <w:pPr>
        <w:pStyle w:val="Heading2"/>
      </w:pPr>
      <w:r w:rsidRPr="00BD1CC1">
        <w:t>Continuation of Therapy</w:t>
      </w:r>
      <w:r w:rsidR="00CE2510" w:rsidRPr="00031D53">
        <w:rPr>
          <w:vertAlign w:val="superscript"/>
        </w:rPr>
        <w:t>1-4</w:t>
      </w:r>
    </w:p>
    <w:p w14:paraId="4FBAB4D8" w14:textId="47F31AEF" w:rsidR="00CE2510" w:rsidRDefault="00CE2510" w:rsidP="00CE2510">
      <w:pPr>
        <w:pStyle w:val="BodyText"/>
      </w:pPr>
      <w:r>
        <w:t xml:space="preserve">Authorization of 12 months may be granted for </w:t>
      </w:r>
      <w:r w:rsidR="003E7CFF">
        <w:t xml:space="preserve">continued treatment in members requesting reauthorization for </w:t>
      </w:r>
      <w:r>
        <w:t>an indication listed in the coverage criteria section when both of the following criteria are met</w:t>
      </w:r>
      <w:r w:rsidR="00535AD6">
        <w:t>:</w:t>
      </w:r>
    </w:p>
    <w:p w14:paraId="4374E257" w14:textId="078D386F" w:rsidR="00CE2510" w:rsidRPr="00E9662E" w:rsidRDefault="00CE2510" w:rsidP="00E9662E">
      <w:pPr>
        <w:pStyle w:val="ListParagraph"/>
        <w:numPr>
          <w:ilvl w:val="0"/>
          <w:numId w:val="37"/>
        </w:numPr>
      </w:pPr>
      <w:r w:rsidRPr="00E9662E">
        <w:t>Member meets either of the following age criteria:</w:t>
      </w:r>
    </w:p>
    <w:p w14:paraId="2909B7ED" w14:textId="77777777" w:rsidR="00CE2510" w:rsidRDefault="00CE2510" w:rsidP="00E255CD">
      <w:pPr>
        <w:pStyle w:val="ListParagraph"/>
        <w:numPr>
          <w:ilvl w:val="1"/>
          <w:numId w:val="41"/>
        </w:numPr>
      </w:pPr>
      <w:r>
        <w:t>Member is a male 10 years of age or older.</w:t>
      </w:r>
    </w:p>
    <w:p w14:paraId="7998CE02" w14:textId="52A1C507" w:rsidR="00CE2510" w:rsidRDefault="00CE2510" w:rsidP="00E255CD">
      <w:pPr>
        <w:pStyle w:val="ListParagraph"/>
        <w:numPr>
          <w:ilvl w:val="1"/>
          <w:numId w:val="41"/>
        </w:numPr>
      </w:pPr>
      <w:r>
        <w:t>Member is a female 8 years of age or older</w:t>
      </w:r>
      <w:r w:rsidR="006E16B0">
        <w:t>.</w:t>
      </w:r>
    </w:p>
    <w:p w14:paraId="2624953B" w14:textId="77777777" w:rsidR="002416C9" w:rsidRDefault="00CE2510" w:rsidP="00E9662E">
      <w:pPr>
        <w:pStyle w:val="ListParagraph"/>
        <w:numPr>
          <w:ilvl w:val="0"/>
          <w:numId w:val="37"/>
        </w:numPr>
      </w:pPr>
      <w:r w:rsidRPr="00E9662E">
        <w:t>Member is experiencing benefit from therapy as evidenced by disease stability or disease improvement (e.g., reduction in the volume of new heterotopic ossification).</w:t>
      </w:r>
    </w:p>
    <w:p w14:paraId="5DC86B93" w14:textId="77777777" w:rsidR="002416C9" w:rsidRDefault="002416C9" w:rsidP="00E9662E">
      <w:pPr>
        <w:pStyle w:val="ListParagraph"/>
        <w:numPr>
          <w:ilvl w:val="0"/>
          <w:numId w:val="37"/>
        </w:numPr>
        <w:sectPr w:rsidR="002416C9" w:rsidSect="00AA1E6A"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10DA4309" w14:textId="12F0E3D3" w:rsidR="00FF66BF" w:rsidRPr="008D1B34" w:rsidRDefault="00FF66BF" w:rsidP="00FF66BF">
      <w:pPr>
        <w:pStyle w:val="Heading2"/>
      </w:pPr>
      <w:r w:rsidRPr="008D1B34">
        <w:lastRenderedPageBreak/>
        <w:t>References</w:t>
      </w:r>
    </w:p>
    <w:p w14:paraId="57E89DC1" w14:textId="77777777" w:rsidR="00CE2510" w:rsidRDefault="00CE2510" w:rsidP="00CE2510">
      <w:pPr>
        <w:pStyle w:val="ReferenceOrdered"/>
      </w:pPr>
      <w:proofErr w:type="spellStart"/>
      <w:r>
        <w:t>Sohonos</w:t>
      </w:r>
      <w:proofErr w:type="spellEnd"/>
      <w:r>
        <w:t xml:space="preserve"> [package insert]. Cambridge, MA: Ipsen Biopharmaceuticals Inc; August 2023.</w:t>
      </w:r>
    </w:p>
    <w:p w14:paraId="1D1BB421" w14:textId="7029F7E6" w:rsidR="0019782E" w:rsidRDefault="006E16B0" w:rsidP="00CE2510">
      <w:pPr>
        <w:pStyle w:val="ReferenceOrdered"/>
      </w:pPr>
      <w:r>
        <w:t xml:space="preserve">ClinicalTrials.gov. National Library of Medicine (US). Identifier NcT03312634. An Efficacy and Safety Study of Palovarotene for the Treatment of Fibrodysplasia Ossificans </w:t>
      </w:r>
      <w:proofErr w:type="spellStart"/>
      <w:r>
        <w:t>Progressiva</w:t>
      </w:r>
      <w:proofErr w:type="spellEnd"/>
      <w:r>
        <w:t xml:space="preserve"> (MOVE). </w:t>
      </w:r>
      <w:r w:rsidR="00BC3311">
        <w:t xml:space="preserve">Last updated November 29, 2023. Accessed August 8, 2024. </w:t>
      </w:r>
      <w:r w:rsidR="009617A1">
        <w:t>Available from: http://classic.clinicaltrials.gov/ct2/show/NCT03312634.</w:t>
      </w:r>
    </w:p>
    <w:p w14:paraId="0FB2801E" w14:textId="77777777" w:rsidR="0019782E" w:rsidRDefault="0019782E" w:rsidP="00CE2510">
      <w:pPr>
        <w:pStyle w:val="ReferenceOrdered"/>
        <w:sectPr w:rsidR="0019782E" w:rsidSect="00AA1E6A"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10B81D5C" w14:textId="4976A6A4" w:rsidR="00CE2510" w:rsidRDefault="00CE2510" w:rsidP="00CE2510">
      <w:pPr>
        <w:pStyle w:val="ReferenceOrdered"/>
      </w:pPr>
      <w:r w:rsidRPr="005F45AB">
        <w:rPr>
          <w:lang w:val="sv-SE"/>
        </w:rPr>
        <w:t>Kaplan FS, Mukaddam MA, Baujat</w:t>
      </w:r>
      <w:r w:rsidR="00535AD6">
        <w:rPr>
          <w:lang w:val="sv-SE"/>
        </w:rPr>
        <w:t xml:space="preserve"> G</w:t>
      </w:r>
      <w:r w:rsidRPr="005F45AB">
        <w:rPr>
          <w:lang w:val="sv-SE"/>
        </w:rPr>
        <w:t xml:space="preserve">, et al. </w:t>
      </w:r>
      <w:r>
        <w:t>The medical management of fibrodysplasia ossificans progressiva: current treatment considerations. Proc Intl Clin Council FOP. 202</w:t>
      </w:r>
      <w:r w:rsidR="00BC3311">
        <w:t>4</w:t>
      </w:r>
      <w:r>
        <w:t>;</w:t>
      </w:r>
      <w:r w:rsidR="00BC3311">
        <w:t>3</w:t>
      </w:r>
      <w:r>
        <w:t>:1-1</w:t>
      </w:r>
      <w:r w:rsidR="00BC3311">
        <w:t>59</w:t>
      </w:r>
      <w:r w:rsidR="009617A1">
        <w:t>.</w:t>
      </w:r>
    </w:p>
    <w:p w14:paraId="47E1A10C" w14:textId="5C55698C" w:rsidR="00C44990" w:rsidRPr="0016096B" w:rsidRDefault="00CE2510" w:rsidP="00E255CD">
      <w:pPr>
        <w:pStyle w:val="ReferenceOrdered"/>
      </w:pPr>
      <w:r>
        <w:t xml:space="preserve">Genetic and Rare Diseases Information Center (GARD). </w:t>
      </w:r>
      <w:r w:rsidRPr="005F45AB">
        <w:rPr>
          <w:lang w:val="it-IT"/>
        </w:rPr>
        <w:t xml:space="preserve">Fibrodysplasia Ossificans Progressiva. Rare Disease Database. </w:t>
      </w:r>
      <w:r>
        <w:t xml:space="preserve">Last updated </w:t>
      </w:r>
      <w:r w:rsidR="009617A1">
        <w:t>July</w:t>
      </w:r>
      <w:r>
        <w:t xml:space="preserve"> 202</w:t>
      </w:r>
      <w:r w:rsidR="009617A1">
        <w:t>4</w:t>
      </w:r>
      <w:r>
        <w:t xml:space="preserve">. Accessed August </w:t>
      </w:r>
      <w:r w:rsidR="009617A1">
        <w:t>12</w:t>
      </w:r>
      <w:r>
        <w:t>, 202</w:t>
      </w:r>
      <w:r w:rsidR="009617A1">
        <w:t>4</w:t>
      </w:r>
      <w:r>
        <w:t>.</w:t>
      </w:r>
      <w:r w:rsidR="009617A1">
        <w:t xml:space="preserve"> </w:t>
      </w:r>
      <w:r>
        <w:t>https://rarediseases.info.nih.gov</w:t>
      </w:r>
      <w:r w:rsidR="009617A1">
        <w:t>.</w:t>
      </w:r>
    </w:p>
    <w:sectPr w:rsidR="00C44990" w:rsidRPr="0016096B" w:rsidSect="00AA1E6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2764D" w14:textId="77777777" w:rsidR="0007468A" w:rsidRDefault="0007468A">
      <w:r>
        <w:separator/>
      </w:r>
    </w:p>
  </w:endnote>
  <w:endnote w:type="continuationSeparator" w:id="0">
    <w:p w14:paraId="2B8CD65B" w14:textId="77777777" w:rsidR="0007468A" w:rsidRDefault="0007468A">
      <w:r>
        <w:continuationSeparator/>
      </w:r>
    </w:p>
  </w:endnote>
  <w:endnote w:type="continuationNotice" w:id="1">
    <w:p w14:paraId="366F763F" w14:textId="77777777" w:rsidR="0007468A" w:rsidRDefault="000746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8BA8A" w14:textId="51157CBE" w:rsidR="00471F64" w:rsidRPr="00EC47B6" w:rsidRDefault="00471F64" w:rsidP="00471F64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5E40A9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Pr="005E40A9">
      <w:rPr>
        <w:rFonts w:cs="Arial"/>
        <w:noProof/>
        <w:sz w:val="16"/>
        <w:szCs w:val="16"/>
      </w:rPr>
      <w:t>Sohonos</w:t>
    </w:r>
    <w:r w:rsidRPr="005E40A9">
      <w:rPr>
        <w:rFonts w:cs="Arial"/>
        <w:noProof/>
        <w:snapToGrid w:val="0"/>
        <w:color w:val="000000"/>
        <w:sz w:val="16"/>
        <w:szCs w:val="16"/>
      </w:rPr>
      <w:t xml:space="preserve"> SGM</w:t>
    </w:r>
    <w:r w:rsidRPr="005E40A9">
      <w:rPr>
        <w:rFonts w:cs="Arial"/>
        <w:noProof/>
        <w:sz w:val="16"/>
        <w:szCs w:val="16"/>
      </w:rPr>
      <w:t xml:space="preserve"> </w:t>
    </w:r>
    <w:r w:rsidRPr="005E40A9">
      <w:rPr>
        <w:rFonts w:cs="Arial"/>
        <w:noProof/>
        <w:snapToGrid w:val="0"/>
        <w:color w:val="000000"/>
        <w:sz w:val="16"/>
        <w:szCs w:val="16"/>
      </w:rPr>
      <w:t>6138-A</w:t>
    </w:r>
    <w:r w:rsidRPr="005E40A9">
      <w:rPr>
        <w:rFonts w:cs="Arial"/>
        <w:noProof/>
        <w:sz w:val="16"/>
        <w:szCs w:val="16"/>
      </w:rPr>
      <w:t xml:space="preserve"> </w:t>
    </w:r>
    <w:r w:rsidR="0016096B">
      <w:rPr>
        <w:rFonts w:cs="Arial"/>
        <w:noProof/>
        <w:sz w:val="16"/>
        <w:szCs w:val="16"/>
      </w:rPr>
      <w:t>P</w:t>
    </w:r>
    <w:r w:rsidRPr="005E40A9">
      <w:rPr>
        <w:rFonts w:cs="Arial"/>
        <w:noProof/>
        <w:sz w:val="16"/>
        <w:szCs w:val="16"/>
      </w:rPr>
      <w:t>202</w:t>
    </w:r>
    <w:r>
      <w:rPr>
        <w:rFonts w:cs="Arial"/>
        <w:noProof/>
        <w:sz w:val="16"/>
        <w:szCs w:val="16"/>
      </w:rPr>
      <w:t>4_R</w:t>
    </w:r>
    <w:r w:rsidRPr="005E40A9">
      <w:rPr>
        <w:rFonts w:cs="Arial"/>
        <w:noProof/>
        <w:sz w:val="16"/>
        <w:szCs w:val="16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5E40A9">
      <w:rPr>
        <w:rFonts w:cs="Arial"/>
        <w:snapToGrid w:val="0"/>
        <w:color w:val="000000"/>
        <w:sz w:val="16"/>
      </w:rPr>
      <w:tab/>
      <w:t xml:space="preserve">© 2024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19D8F1BD" w14:textId="77777777" w:rsidR="00471F64" w:rsidRPr="00EC47B6" w:rsidRDefault="00471F64" w:rsidP="00471F64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5589A717" w:rsidR="00F75C81" w:rsidRPr="00471F64" w:rsidRDefault="00471F64" w:rsidP="00471F64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D6775" w14:textId="45EE6967" w:rsidR="00CE2510" w:rsidRPr="00EC47B6" w:rsidRDefault="00CE2510" w:rsidP="00CE2510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5E40A9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E40A9" w:rsidRPr="005E40A9">
      <w:rPr>
        <w:rFonts w:cs="Arial"/>
        <w:noProof/>
        <w:sz w:val="16"/>
        <w:szCs w:val="16"/>
      </w:rPr>
      <w:t>Sohonos</w:t>
    </w:r>
    <w:r w:rsidR="005E40A9" w:rsidRPr="005E40A9">
      <w:rPr>
        <w:rFonts w:cs="Arial"/>
        <w:noProof/>
        <w:snapToGrid w:val="0"/>
        <w:color w:val="000000"/>
        <w:sz w:val="16"/>
        <w:szCs w:val="16"/>
      </w:rPr>
      <w:t xml:space="preserve"> SGM</w:t>
    </w:r>
    <w:r w:rsidR="005E40A9" w:rsidRPr="005E40A9">
      <w:rPr>
        <w:rFonts w:cs="Arial"/>
        <w:noProof/>
        <w:sz w:val="16"/>
        <w:szCs w:val="16"/>
      </w:rPr>
      <w:t xml:space="preserve"> </w:t>
    </w:r>
    <w:r w:rsidR="00AA55DF" w:rsidRPr="005E40A9">
      <w:rPr>
        <w:rFonts w:cs="Arial"/>
        <w:noProof/>
        <w:snapToGrid w:val="0"/>
        <w:color w:val="000000"/>
        <w:sz w:val="16"/>
        <w:szCs w:val="16"/>
      </w:rPr>
      <w:t>6138-A</w:t>
    </w:r>
    <w:r w:rsidR="00AA55DF" w:rsidRPr="005E40A9">
      <w:rPr>
        <w:rFonts w:cs="Arial"/>
        <w:noProof/>
        <w:sz w:val="16"/>
        <w:szCs w:val="16"/>
      </w:rPr>
      <w:t xml:space="preserve"> </w:t>
    </w:r>
    <w:r w:rsidR="0016096B">
      <w:rPr>
        <w:rFonts w:cs="Arial"/>
        <w:noProof/>
        <w:sz w:val="16"/>
        <w:szCs w:val="16"/>
      </w:rPr>
      <w:t>P</w:t>
    </w:r>
    <w:r w:rsidR="005E40A9" w:rsidRPr="005E40A9">
      <w:rPr>
        <w:rFonts w:cs="Arial"/>
        <w:noProof/>
        <w:sz w:val="16"/>
        <w:szCs w:val="16"/>
      </w:rPr>
      <w:t>202</w:t>
    </w:r>
    <w:r w:rsidR="006E16B0">
      <w:rPr>
        <w:rFonts w:cs="Arial"/>
        <w:noProof/>
        <w:sz w:val="16"/>
        <w:szCs w:val="16"/>
      </w:rPr>
      <w:t>4</w:t>
    </w:r>
    <w:r w:rsidR="00AA55DF">
      <w:rPr>
        <w:rFonts w:cs="Arial"/>
        <w:noProof/>
        <w:sz w:val="16"/>
        <w:szCs w:val="16"/>
      </w:rPr>
      <w:t>_R</w:t>
    </w:r>
    <w:r w:rsidR="005E40A9" w:rsidRPr="005E40A9">
      <w:rPr>
        <w:rFonts w:cs="Arial"/>
        <w:noProof/>
        <w:sz w:val="16"/>
        <w:szCs w:val="16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5E40A9">
      <w:rPr>
        <w:rFonts w:cs="Arial"/>
        <w:snapToGrid w:val="0"/>
        <w:color w:val="000000"/>
        <w:sz w:val="16"/>
      </w:rPr>
      <w:tab/>
      <w:t xml:space="preserve">© 2024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B96BF42" w14:textId="4589ED13" w:rsidR="00CE2510" w:rsidRPr="00EC47B6" w:rsidRDefault="00CE2510" w:rsidP="00CE2510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7ECE9968" w:rsidR="00ED04EC" w:rsidRPr="00CE2510" w:rsidRDefault="00CE2510" w:rsidP="00E255CD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BF92D" w14:textId="41162FC7" w:rsidR="0019782E" w:rsidRPr="0019782E" w:rsidRDefault="0019782E" w:rsidP="001978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19DE3" w14:textId="77777777" w:rsidR="0007468A" w:rsidRDefault="0007468A">
      <w:r>
        <w:separator/>
      </w:r>
    </w:p>
  </w:footnote>
  <w:footnote w:type="continuationSeparator" w:id="0">
    <w:p w14:paraId="09883313" w14:textId="77777777" w:rsidR="0007468A" w:rsidRDefault="0007468A">
      <w:r>
        <w:continuationSeparator/>
      </w:r>
    </w:p>
  </w:footnote>
  <w:footnote w:type="continuationNotice" w:id="1">
    <w:p w14:paraId="54570AF6" w14:textId="77777777" w:rsidR="0007468A" w:rsidRDefault="000746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19782E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525DB169" w:rsidR="00ED04EC" w:rsidRPr="004C7F1D" w:rsidRDefault="001C5B95" w:rsidP="0019782E">
          <w:pPr>
            <w:pStyle w:val="RefTableData"/>
          </w:pPr>
          <w:r>
            <w:t>6138-A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19782E" w:rsidRPr="00ED04EC" w14:paraId="427B737F" w14:textId="77777777" w:rsidTr="00BB1825">
      <w:trPr>
        <w:trHeight w:val="144"/>
        <w:jc w:val="right"/>
      </w:trPr>
      <w:tc>
        <w:tcPr>
          <w:tcW w:w="1854" w:type="dxa"/>
          <w:hideMark/>
        </w:tcPr>
        <w:p w14:paraId="7B6DE873" w14:textId="77777777" w:rsidR="0019782E" w:rsidRPr="00AA1E6A" w:rsidRDefault="0019782E" w:rsidP="0019782E">
          <w:pPr>
            <w:pStyle w:val="RefTableData"/>
          </w:pPr>
          <w:r w:rsidRPr="00AA1E6A">
            <w:t>Reference number(s)</w:t>
          </w:r>
        </w:p>
      </w:tc>
    </w:tr>
    <w:tr w:rsidR="0019782E" w:rsidRPr="00ED04EC" w14:paraId="54045BDF" w14:textId="77777777" w:rsidTr="00BB1825">
      <w:trPr>
        <w:trHeight w:val="378"/>
        <w:jc w:val="right"/>
      </w:trPr>
      <w:tc>
        <w:tcPr>
          <w:tcW w:w="1854" w:type="dxa"/>
          <w:hideMark/>
        </w:tcPr>
        <w:p w14:paraId="150AA263" w14:textId="77777777" w:rsidR="0019782E" w:rsidRPr="004C7F1D" w:rsidRDefault="0019782E" w:rsidP="0019782E">
          <w:pPr>
            <w:pStyle w:val="RefTableData"/>
          </w:pPr>
          <w:r>
            <w:t>6138-A</w:t>
          </w:r>
        </w:p>
      </w:tc>
    </w:tr>
  </w:tbl>
  <w:p w14:paraId="6BB5F0CD" w14:textId="77777777" w:rsidR="0019782E" w:rsidRPr="0019782E" w:rsidRDefault="0019782E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4362B2"/>
    <w:multiLevelType w:val="hybridMultilevel"/>
    <w:tmpl w:val="40767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AD063D8"/>
    <w:multiLevelType w:val="multilevel"/>
    <w:tmpl w:val="07E2AAF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E0D0B6B"/>
    <w:multiLevelType w:val="hybridMultilevel"/>
    <w:tmpl w:val="6494D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FE2EA1"/>
    <w:multiLevelType w:val="multilevel"/>
    <w:tmpl w:val="07E2AAF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1D1F25"/>
    <w:multiLevelType w:val="hybridMultilevel"/>
    <w:tmpl w:val="0608E18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70BE3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623E56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4D7A5D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8E38FB"/>
    <w:multiLevelType w:val="multilevel"/>
    <w:tmpl w:val="B756D9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143A08"/>
    <w:multiLevelType w:val="multilevel"/>
    <w:tmpl w:val="07E2AAF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C07283"/>
    <w:multiLevelType w:val="hybridMultilevel"/>
    <w:tmpl w:val="93B62E6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F830A6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2"/>
  </w:num>
  <w:num w:numId="3" w16cid:durableId="611589570">
    <w:abstractNumId w:val="2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3"/>
  </w:num>
  <w:num w:numId="17" w16cid:durableId="2128498676">
    <w:abstractNumId w:val="36"/>
  </w:num>
  <w:num w:numId="18" w16cid:durableId="299724409">
    <w:abstractNumId w:val="29"/>
  </w:num>
  <w:num w:numId="19" w16cid:durableId="214585573">
    <w:abstractNumId w:val="15"/>
  </w:num>
  <w:num w:numId="20" w16cid:durableId="1289816170">
    <w:abstractNumId w:val="17"/>
  </w:num>
  <w:num w:numId="21" w16cid:durableId="1066490929">
    <w:abstractNumId w:val="38"/>
  </w:num>
  <w:num w:numId="22" w16cid:durableId="1472481103">
    <w:abstractNumId w:val="31"/>
  </w:num>
  <w:num w:numId="23" w16cid:durableId="1997420403">
    <w:abstractNumId w:val="33"/>
  </w:num>
  <w:num w:numId="24" w16cid:durableId="33312838">
    <w:abstractNumId w:val="30"/>
  </w:num>
  <w:num w:numId="25" w16cid:durableId="507404939">
    <w:abstractNumId w:val="22"/>
  </w:num>
  <w:num w:numId="26" w16cid:durableId="1950313333">
    <w:abstractNumId w:val="26"/>
  </w:num>
  <w:num w:numId="27" w16cid:durableId="1866016584">
    <w:abstractNumId w:val="25"/>
  </w:num>
  <w:num w:numId="28" w16cid:durableId="1434203943">
    <w:abstractNumId w:val="11"/>
  </w:num>
  <w:num w:numId="29" w16cid:durableId="1680231329">
    <w:abstractNumId w:val="16"/>
  </w:num>
  <w:num w:numId="30" w16cid:durableId="220138105">
    <w:abstractNumId w:val="18"/>
  </w:num>
  <w:num w:numId="31" w16cid:durableId="1962109224">
    <w:abstractNumId w:val="38"/>
  </w:num>
  <w:num w:numId="32" w16cid:durableId="1069230336">
    <w:abstractNumId w:val="14"/>
  </w:num>
  <w:num w:numId="33" w16cid:durableId="530803014">
    <w:abstractNumId w:val="34"/>
  </w:num>
  <w:num w:numId="34" w16cid:durableId="823856854">
    <w:abstractNumId w:val="27"/>
  </w:num>
  <w:num w:numId="35" w16cid:durableId="755370472">
    <w:abstractNumId w:val="19"/>
  </w:num>
  <w:num w:numId="36" w16cid:durableId="158007421">
    <w:abstractNumId w:val="35"/>
  </w:num>
  <w:num w:numId="37" w16cid:durableId="131957618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08993668">
    <w:abstractNumId w:val="21"/>
  </w:num>
  <w:num w:numId="39" w16cid:durableId="554893413">
    <w:abstractNumId w:val="24"/>
  </w:num>
  <w:num w:numId="40" w16cid:durableId="193470673">
    <w:abstractNumId w:val="37"/>
  </w:num>
  <w:num w:numId="41" w16cid:durableId="595477768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1D53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68A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04DA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5D4E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096B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9782E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B95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50FF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D3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6C9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30C0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8C4"/>
    <w:rsid w:val="002F2FA8"/>
    <w:rsid w:val="002F311C"/>
    <w:rsid w:val="002F335A"/>
    <w:rsid w:val="002F51A5"/>
    <w:rsid w:val="002F5F01"/>
    <w:rsid w:val="002F6300"/>
    <w:rsid w:val="0030016D"/>
    <w:rsid w:val="00301F62"/>
    <w:rsid w:val="00302165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BE1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E7CFF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1F6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17EC"/>
    <w:rsid w:val="00481ABA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287D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065D8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AD6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05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0D2"/>
    <w:rsid w:val="005C44D1"/>
    <w:rsid w:val="005C52A6"/>
    <w:rsid w:val="005C6812"/>
    <w:rsid w:val="005C6A8B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0A9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5AB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0741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16B0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08C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49E4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23A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73F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B72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4D1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7A1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74F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86C94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849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0A3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5DF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6D22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5F60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311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0D4E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8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3C1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510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1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0933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5CD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1A0C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4B60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173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4052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662E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0D4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3B6A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6DB3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5C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11844864-3936-4C2C-B6A6-F5F9A3AFA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2416C9"/>
    <w:pPr>
      <w:widowControl w:val="0"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2416C9"/>
    <w:pPr>
      <w:widowControl w:val="0"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2416C9"/>
    <w:pPr>
      <w:keepNext w:val="0"/>
      <w:keepLines w:val="0"/>
      <w:widowControl w:val="0"/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2416C9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2416C9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2416C9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ce173f13-e3a2-4c5f-8c54-d0382ae88016"/>
    <ds:schemaRef ds:uri="102fadf2-6cae-45bc-95f6-bc2613b9857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6EAE80-8B17-46A4-8CC4-3EC19830A29A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513</Words>
  <Characters>3177</Characters>
  <Application>Microsoft Office Word</Application>
  <DocSecurity>0</DocSecurity>
  <Lines>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Sohonos 6138-A SGM 2023</vt:lpstr>
    </vt:vector>
  </TitlesOfParts>
  <Company>PCS Health Systems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Sohonos 6138-A SGM 2023</dc:title>
  <dc:subject/>
  <dc:creator>CVS Caremark</dc:creator>
  <cp:keywords/>
  <cp:lastModifiedBy>Ortiz, Erica M</cp:lastModifiedBy>
  <cp:revision>21</cp:revision>
  <cp:lastPrinted>2018-01-09T08:01:00Z</cp:lastPrinted>
  <dcterms:created xsi:type="dcterms:W3CDTF">2024-07-17T15:13:00Z</dcterms:created>
  <dcterms:modified xsi:type="dcterms:W3CDTF">2025-01-23T17:26:00Z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12721500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